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961DE">
      <w:pPr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附件1：</w:t>
      </w:r>
    </w:p>
    <w:p w14:paraId="781C526B">
      <w:pPr>
        <w:spacing w:after="156" w:afterLines="5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拟制定团体标准项目清单</w:t>
      </w:r>
      <w:bookmarkStart w:id="0" w:name="_GoBack"/>
      <w:bookmarkEnd w:id="0"/>
    </w:p>
    <w:p w14:paraId="2613962A"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《集装箱多式联运温室气体排放核算方法与要求》</w:t>
      </w:r>
    </w:p>
    <w:p w14:paraId="15C23637">
      <w:p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以集装箱多式联运服务的温室气体核算为目的，明确集装箱多式联运全链条服务温室气体排放量的核算基本原则，规定核算主体与核算边界、核算步骤、核算方法等内容。</w:t>
      </w:r>
    </w:p>
    <w:p w14:paraId="519BCDC3"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《温室气体排放核算与报告要求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综合货运</w:t>
      </w:r>
      <w:r>
        <w:rPr>
          <w:rFonts w:hint="eastAsia" w:ascii="仿宋" w:hAnsi="仿宋" w:eastAsia="仿宋" w:cs="仿宋"/>
          <w:kern w:val="0"/>
          <w:sz w:val="32"/>
          <w:szCs w:val="32"/>
        </w:rPr>
        <w:t>枢纽》</w:t>
      </w:r>
    </w:p>
    <w:p w14:paraId="61318023">
      <w:p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针对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服务两种及以上对外运输方式、实现不同运输方式之间货物有效换装与衔接的综合货运枢纽</w:t>
      </w:r>
      <w:r>
        <w:rPr>
          <w:rFonts w:hint="eastAsia" w:ascii="仿宋" w:hAnsi="仿宋" w:eastAsia="仿宋" w:cs="仿宋"/>
          <w:kern w:val="0"/>
          <w:sz w:val="32"/>
          <w:szCs w:val="32"/>
        </w:rPr>
        <w:t>，规定枢纽温室气体排放核算边界、核算方法、活动数据与排放因子选取、温室气体排放报告编制等相关要求。</w:t>
      </w:r>
    </w:p>
    <w:p w14:paraId="4E91D080"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《温室气体排放核算与报告要求 多式联运经营人》</w:t>
      </w:r>
    </w:p>
    <w:p w14:paraId="4AF88FDF">
      <w:p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针对从事集装箱多式联运业务、承担全程运输责任的多式联运经营人，规定多式联运经营人温室气体排放核算边界、核算方法、活动数据与排放因子选取、温室气体排放报告编制等相关要求。</w:t>
      </w:r>
    </w:p>
    <w:p w14:paraId="59CE7D3E">
      <w:pPr>
        <w:pStyle w:val="2"/>
        <w:numPr>
          <w:ilvl w:val="0"/>
          <w:numId w:val="1"/>
        </w:numPr>
        <w:ind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《综合货运枢纽等级评估》</w:t>
      </w:r>
    </w:p>
    <w:p w14:paraId="49CA5E27">
      <w:pPr>
        <w:pStyle w:val="2"/>
        <w:ind w:firstLine="64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针对服务两种及以上对外运输方式、实现不同运输方式之间货物有效换装与衔接的综合货运枢纽，为枢纽综合能力等级评估提供统一的技术依据。主要技术内容包括综合货运枢纽等级划分、评估指标体系、评估实施流程等。</w:t>
      </w:r>
    </w:p>
    <w:p w14:paraId="0C9DA03E"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《</w:t>
      </w:r>
      <w:r>
        <w:rPr>
          <w:rFonts w:ascii="仿宋" w:hAnsi="仿宋" w:eastAsia="仿宋" w:cs="仿宋"/>
          <w:kern w:val="0"/>
          <w:sz w:val="32"/>
          <w:szCs w:val="32"/>
        </w:rPr>
        <w:t>基于项目的温室气体减排量评估技术规范 集装箱多式联运</w:t>
      </w:r>
      <w:r>
        <w:rPr>
          <w:rFonts w:hint="eastAsia" w:ascii="仿宋" w:hAnsi="仿宋" w:eastAsia="仿宋" w:cs="仿宋"/>
          <w:kern w:val="0"/>
          <w:sz w:val="32"/>
          <w:szCs w:val="32"/>
        </w:rPr>
        <w:t>》</w:t>
      </w:r>
    </w:p>
    <w:p w14:paraId="0F958948">
      <w:p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以集装箱多式联运项目的温室气体减排量核算为目的，明确集装箱多式联运项目温室气体减排量核算的总则，统一核算边界和排放源，设定基准线情景，明确项目与基准线情景的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温室气体</w:t>
      </w:r>
      <w:r>
        <w:rPr>
          <w:rFonts w:hint="eastAsia" w:ascii="仿宋" w:hAnsi="仿宋" w:eastAsia="仿宋" w:cs="仿宋"/>
          <w:kern w:val="0"/>
          <w:sz w:val="32"/>
          <w:szCs w:val="32"/>
        </w:rPr>
        <w:t>核算的核算步骤、流程以及监测及数据质量要求，规定减排量计算方法，统一减排量报告编制要求。</w:t>
      </w:r>
    </w:p>
    <w:p w14:paraId="1D579F7C">
      <w:pPr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87462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2D200E"/>
    <w:multiLevelType w:val="singleLevel"/>
    <w:tmpl w:val="482D200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24B24"/>
    <w:rsid w:val="6252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hd w:val="clear" w:color="auto" w:fill="FFFFFF"/>
      <w:spacing w:line="360" w:lineRule="auto"/>
      <w:ind w:firstLine="600" w:firstLineChars="200"/>
      <w:jc w:val="left"/>
    </w:pPr>
    <w:rPr>
      <w:rFonts w:ascii="华文仿宋" w:hAnsi="华文仿宋" w:eastAsia="华文仿宋" w:cs="宋体"/>
      <w:kern w:val="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2026-09-20T08:41:00Z</dcterms:created>
  <dc:creator>Y.U</dc:creator>
  <cp:lastModifiedBy>Y.U</cp:lastModifiedBy>
  <dcterms:modified xsi:type="dcterms:W3CDTF">2026-09-20T08:41:42Z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73E6C54DF9AC41148F082EA5884F4712_11</vt:lpwstr>
  </property>
  <property fmtid="{D5CDD505-2E9C-101B-9397-08002B2CF9AE}" pid="4" name="KSOTemplateDocerSaveRecord">
    <vt:lpwstr>eyJoZGlkIjoiZTQwMjFhZmZmM2M0NTM3NzlkNzU5OGRmMWY1M2VhYTkiLCJ1c2VySWQiOiI4NzA5OTk3MTIifQ==</vt:lpwstr>
  </property>
</Properties>
</file>